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F1" w:rsidRDefault="00535BF1" w:rsidP="00535BF1">
      <w:pPr>
        <w:spacing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90600" cy="67627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noProof/>
        </w:rPr>
        <w:t xml:space="preserve">                    </w:t>
      </w:r>
      <w:bookmarkStart w:id="0" w:name="_GoBack"/>
      <w:bookmarkEnd w:id="0"/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657225" cy="62865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1333500" cy="6667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1" w:rsidRDefault="00535BF1" w:rsidP="008F0D6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0D69" w:rsidRDefault="008F0D69" w:rsidP="008F0D6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Determina di affidamento diretto a favore della ditta ---------- , ai sensi dell’art. 1, comma 2, lett.a), D.L. n. 76/2020 conv. in Legge n. 120/2020, modificato dal D.L. n. 77/2021 conv. in Legge 108/2021, nell’ambito dell’Avviso Pubblico ‘’Misura 1.4.3 APP IO’’ per  le PA locali - Comuni, Missione 1, Componente 1, PNRR, investimento 1.4 ‘’Servizi e cittadinanza digitale’’ finanziato dall’ Unione Europea Next Generation EU. CIG ----------, CUP --------- (</w:t>
      </w:r>
      <w:r w:rsidRPr="00DF6F92">
        <w:rPr>
          <w:rFonts w:ascii="Arial" w:hAnsi="Arial" w:cs="Arial"/>
          <w:b/>
          <w:bCs/>
          <w:sz w:val="24"/>
          <w:szCs w:val="24"/>
        </w:rPr>
        <w:t>servizi digitali previsti nella richiesta di finanziamento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DF6F92">
        <w:rPr>
          <w:rFonts w:ascii="Arial" w:hAnsi="Arial" w:cs="Arial"/>
          <w:b/>
          <w:bCs/>
          <w:sz w:val="24"/>
          <w:szCs w:val="24"/>
        </w:rPr>
        <w:t xml:space="preserve"> – Avviso Misura 1.4.</w:t>
      </w:r>
      <w:r>
        <w:rPr>
          <w:rFonts w:ascii="Arial" w:hAnsi="Arial" w:cs="Arial"/>
          <w:b/>
          <w:bCs/>
          <w:sz w:val="24"/>
          <w:szCs w:val="24"/>
        </w:rPr>
        <w:t xml:space="preserve">3 APP IO </w:t>
      </w:r>
    </w:p>
    <w:p w:rsidR="008F0D69" w:rsidRDefault="008F0D69">
      <w:pPr>
        <w:tabs>
          <w:tab w:val="left" w:pos="993"/>
        </w:tabs>
        <w:spacing w:after="0"/>
        <w:ind w:left="992" w:hanging="992"/>
      </w:pPr>
    </w:p>
    <w:p w:rsidR="008D084C" w:rsidRDefault="008D084C">
      <w:pPr>
        <w:jc w:val="center"/>
        <w:rPr>
          <w:rFonts w:ascii="Arial" w:hAnsi="Arial" w:cs="Arial"/>
        </w:rPr>
      </w:pPr>
    </w:p>
    <w:p w:rsidR="008D084C" w:rsidRDefault="008D084C">
      <w:pPr>
        <w:jc w:val="center"/>
        <w:rPr>
          <w:rFonts w:ascii="Arial" w:hAnsi="Arial" w:cs="Arial"/>
        </w:rPr>
      </w:pPr>
    </w:p>
    <w:p w:rsidR="008D084C" w:rsidRDefault="008D084C">
      <w:pPr>
        <w:jc w:val="center"/>
      </w:pPr>
      <w:r>
        <w:rPr>
          <w:rFonts w:ascii="Arial" w:hAnsi="Arial" w:cs="Arial"/>
          <w:b/>
          <w:bCs/>
        </w:rPr>
        <w:t>IL RESPONSABILE DEL SERVIZIO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Visti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decreto legislativo 18 agosto 2000, n. 267 (</w:t>
      </w:r>
      <w:r>
        <w:rPr>
          <w:rFonts w:ascii="Arial" w:hAnsi="Arial" w:cs="Arial"/>
          <w:bCs/>
          <w:i/>
          <w:iCs/>
        </w:rPr>
        <w:t>Testo unico delle leggi sull’ordinamento degli enti locali</w:t>
      </w:r>
      <w:r>
        <w:rPr>
          <w:rFonts w:ascii="Arial" w:hAnsi="Arial" w:cs="Arial"/>
          <w:bCs/>
        </w:rPr>
        <w:t>) e il decreto legislativo 23 giugno 2011, n. 118 (</w:t>
      </w:r>
      <w:r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>);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decreto legislativo 18 aprile 2016, n. 50 (</w:t>
      </w:r>
      <w:r>
        <w:rPr>
          <w:rFonts w:ascii="Arial" w:hAnsi="Arial" w:cs="Arial"/>
          <w:bCs/>
          <w:i/>
          <w:iCs/>
        </w:rPr>
        <w:t>Codice dei contratti pubblici</w:t>
      </w:r>
      <w:r>
        <w:rPr>
          <w:rFonts w:ascii="Arial" w:hAnsi="Arial" w:cs="Arial"/>
          <w:bCs/>
        </w:rPr>
        <w:t>);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decreto legislativo 7 marzo 2005, n. 82 (</w:t>
      </w:r>
      <w:r>
        <w:rPr>
          <w:rFonts w:ascii="Arial" w:hAnsi="Arial" w:cs="Arial"/>
          <w:bCs/>
          <w:i/>
          <w:iCs/>
        </w:rPr>
        <w:t>Codice dell’amministrazione digitale</w:t>
      </w:r>
      <w:r>
        <w:rPr>
          <w:rFonts w:ascii="Arial" w:hAnsi="Arial" w:cs="Arial"/>
          <w:bCs/>
        </w:rPr>
        <w:t>);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regolamento 12 febbraio 2021, n. 2021/241/UE (</w:t>
      </w:r>
      <w:r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>
        <w:rPr>
          <w:rFonts w:ascii="Arial" w:hAnsi="Arial" w:cs="Arial"/>
          <w:bCs/>
        </w:rPr>
        <w:t>);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la legge 23 dicembre 1999, n. 488 (</w:t>
      </w:r>
      <w:r>
        <w:rPr>
          <w:rFonts w:ascii="Arial" w:hAnsi="Arial" w:cs="Arial"/>
          <w:bCs/>
          <w:i/>
          <w:iCs/>
        </w:rPr>
        <w:t>Legge finanziaria 2000</w:t>
      </w:r>
      <w:r>
        <w:rPr>
          <w:rFonts w:ascii="Arial" w:hAnsi="Arial" w:cs="Arial"/>
          <w:bCs/>
        </w:rPr>
        <w:t>) e la legge 27 dicembre 2006, n. 296 (</w:t>
      </w:r>
      <w:r>
        <w:rPr>
          <w:rFonts w:ascii="Arial" w:hAnsi="Arial" w:cs="Arial"/>
          <w:bCs/>
          <w:i/>
          <w:iCs/>
        </w:rPr>
        <w:t>Legge finanziaria 2007</w:t>
      </w:r>
      <w:r>
        <w:rPr>
          <w:rFonts w:ascii="Arial" w:hAnsi="Arial" w:cs="Arial"/>
          <w:bCs/>
        </w:rPr>
        <w:t>);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legge 13 agosto 2010, n. 136 (</w:t>
      </w:r>
      <w:r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>
        <w:rPr>
          <w:rFonts w:ascii="Arial" w:hAnsi="Arial" w:cs="Arial"/>
          <w:bCs/>
        </w:rPr>
        <w:t>);</w:t>
      </w:r>
    </w:p>
    <w:p w:rsidR="008D084C" w:rsidRDefault="008D084C">
      <w:pPr>
        <w:numPr>
          <w:ilvl w:val="0"/>
          <w:numId w:val="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decreto-legge 16 luglio 2020, n. 76 (</w:t>
      </w:r>
      <w:r>
        <w:rPr>
          <w:rFonts w:ascii="Arial" w:hAnsi="Arial" w:cs="Arial"/>
          <w:bCs/>
          <w:i/>
          <w:iCs/>
        </w:rPr>
        <w:t>Misure urgenti per la semplificazione e l’innovazione digitale</w:t>
      </w:r>
      <w:r>
        <w:rPr>
          <w:rFonts w:ascii="Arial" w:hAnsi="Arial" w:cs="Arial"/>
          <w:bCs/>
        </w:rPr>
        <w:t>) convertito in legge, con modificazioni, dalla legge 11 settembre 2020, n. 120;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lastRenderedPageBreak/>
        <w:t>Visti:</w:t>
      </w:r>
    </w:p>
    <w:p w:rsidR="008D084C" w:rsidRDefault="008D084C">
      <w:pPr>
        <w:numPr>
          <w:ilvl w:val="0"/>
          <w:numId w:val="1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:rsidR="008D084C" w:rsidRDefault="008D084C">
      <w:pPr>
        <w:numPr>
          <w:ilvl w:val="0"/>
          <w:numId w:val="1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:rsidR="008D084C" w:rsidRDefault="008D084C">
      <w:pPr>
        <w:numPr>
          <w:ilvl w:val="0"/>
          <w:numId w:val="1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Bilancio di previsione 2022-2024, approvato con deliberazione del Consiglio comunale n. __ del ______________;</w:t>
      </w:r>
    </w:p>
    <w:p w:rsidR="008D084C" w:rsidRDefault="008D084C">
      <w:pPr>
        <w:numPr>
          <w:ilvl w:val="0"/>
          <w:numId w:val="1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Piano esecutivo di gestione (PEG) 2022-2024, approvato con deliberazione della Giunta comunale n. __ del ______________;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Premesso che:</w:t>
      </w:r>
    </w:p>
    <w:p w:rsidR="008D084C" w:rsidRDefault="008D084C">
      <w:pPr>
        <w:pStyle w:val="Paragrafoelenco"/>
        <w:numPr>
          <w:ilvl w:val="0"/>
          <w:numId w:val="9"/>
        </w:numPr>
        <w:spacing w:after="240" w:line="360" w:lineRule="auto"/>
        <w:jc w:val="both"/>
      </w:pPr>
      <w:r>
        <w:rPr>
          <w:rFonts w:ascii="Arial" w:hAnsi="Arial" w:cs="Arial"/>
          <w:bCs/>
        </w:rPr>
        <w:t>l’articolo 64-bis del d.lgs. 82/2005 prevede che i Comuni rendano fruibili digitalmente i propri servizi tramite il punto di accesso telematico attivato presso la Presidenza del Consiglio dei ministri</w:t>
      </w:r>
    </w:p>
    <w:p w:rsidR="008D084C" w:rsidRDefault="008D084C">
      <w:pPr>
        <w:pStyle w:val="Paragrafoelenco"/>
        <w:numPr>
          <w:ilvl w:val="0"/>
          <w:numId w:val="9"/>
        </w:numPr>
        <w:spacing w:after="240" w:line="360" w:lineRule="auto"/>
        <w:jc w:val="both"/>
      </w:pPr>
      <w:r>
        <w:rPr>
          <w:rFonts w:ascii="Arial" w:hAnsi="Arial" w:cs="Arial"/>
          <w:bCs/>
        </w:rPr>
        <w:t>al fine di semplificare e favorire l’accesso ai servizi in rete della pubblica amministrazione da parte di cittadini e imprese e l’effettivo esercizio del diritto all’uso delle tecnologie digitali, con il d.lgs. 82/2005 è stato introdotto il diritto di accedere ai servizi on-line della pubblica amministrazione “</w:t>
      </w:r>
      <w:r>
        <w:rPr>
          <w:rFonts w:ascii="Arial" w:hAnsi="Arial" w:cs="Arial"/>
          <w:bCs/>
          <w:i/>
          <w:iCs/>
        </w:rPr>
        <w:t>tramite la propria identità digitale e anche attraverso il punto di accesso telematico di cui all’articolo 64-bis</w:t>
      </w:r>
      <w:r>
        <w:rPr>
          <w:rFonts w:ascii="Arial" w:hAnsi="Arial" w:cs="Arial"/>
          <w:bCs/>
        </w:rPr>
        <w:t>”;</w:t>
      </w:r>
    </w:p>
    <w:p w:rsidR="008D084C" w:rsidRDefault="008D084C">
      <w:pPr>
        <w:pStyle w:val="Paragrafoelenco"/>
        <w:numPr>
          <w:ilvl w:val="0"/>
          <w:numId w:val="9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punto di accesso telematico attivato presso la Presidenza del Consiglio dei ministri è denominato “IO”, applicazione che mette a disposizione di tutte le pubbliche amministrazioni una piattaforma comune e semplice da usare, con la quale relazionarsi in modo personalizzato, rapido e sicuro, consentendo l’accesso ai servizi e alle comunicazioni delle amministrazioni direttamente dal proprio smartphone;</w:t>
      </w:r>
    </w:p>
    <w:p w:rsidR="008D084C" w:rsidRDefault="008D084C">
      <w:pPr>
        <w:pStyle w:val="Paragrafoelenco"/>
        <w:numPr>
          <w:ilvl w:val="0"/>
          <w:numId w:val="9"/>
        </w:numPr>
        <w:spacing w:after="240" w:line="360" w:lineRule="auto"/>
        <w:jc w:val="both"/>
      </w:pPr>
      <w:r>
        <w:rPr>
          <w:rFonts w:ascii="Arial" w:hAnsi="Arial" w:cs="Arial"/>
          <w:bCs/>
        </w:rPr>
        <w:t>l’App IO determina una maggiore fruibilità dei servizi online e si basa sull’utilizzo di altre piattaforme abilitanti previste dalla legge, fornendo una pluralità di servizi e informazioni;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Preso atto che:</w:t>
      </w:r>
    </w:p>
    <w:p w:rsidR="008D084C" w:rsidRDefault="008D084C">
      <w:pPr>
        <w:pStyle w:val="Paragrafoelenco"/>
        <w:numPr>
          <w:ilvl w:val="0"/>
          <w:numId w:val="10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Ministero per l’innovazione tecnologica e la transizione digitale (MITD) ha invitato i Comuni italiani a presentare domanda di partecipazione all’avviso pubblico del Piano nazionale di ripresa e resilienza – Missione 1 – Componente 1 – Investimento 1.4 “Servizi e cittadinanza digitale” – Misura 1.4.3 “Adozione APP IO” Comuni, finanziato dall’Unione Europea – NextGenerationEU;</w:t>
      </w:r>
    </w:p>
    <w:p w:rsidR="008D084C" w:rsidRDefault="008D084C">
      <w:pPr>
        <w:pStyle w:val="Paragrafoelenco"/>
        <w:numPr>
          <w:ilvl w:val="0"/>
          <w:numId w:val="10"/>
        </w:numPr>
        <w:spacing w:after="240" w:line="360" w:lineRule="auto"/>
        <w:jc w:val="both"/>
      </w:pPr>
      <w:r>
        <w:rPr>
          <w:rFonts w:ascii="Arial" w:hAnsi="Arial" w:cs="Arial"/>
          <w:bCs/>
        </w:rPr>
        <w:lastRenderedPageBreak/>
        <w:t>l’obiettivo previsto per la Misura 1.4.3 (milestone e target europei) è quello di garantire un aumento del numero di servizi integrati nell’applicazione IO (App IO) con l’obiettivo finale di disporre in media di 50 servizi per Comune;</w:t>
      </w:r>
    </w:p>
    <w:p w:rsidR="008D084C" w:rsidRDefault="008D084C">
      <w:pPr>
        <w:pStyle w:val="Paragrafoelenco"/>
        <w:numPr>
          <w:ilvl w:val="0"/>
          <w:numId w:val="10"/>
        </w:numPr>
        <w:spacing w:after="240" w:line="360" w:lineRule="auto"/>
        <w:jc w:val="both"/>
      </w:pPr>
      <w:r>
        <w:rPr>
          <w:rFonts w:ascii="Arial" w:hAnsi="Arial" w:cs="Arial"/>
          <w:bCs/>
        </w:rPr>
        <w:t>lo specifico obiettivo del bando prevede la migrazione e l’attivazione dei servizi digitali dell’ente sull’App IO - nel rispetto dei “pacchetti minimi” con limite massimo di 50 servizi finanziabili come segue:</w:t>
      </w:r>
    </w:p>
    <w:p w:rsidR="008D084C" w:rsidRDefault="008D084C">
      <w:pPr>
        <w:pStyle w:val="Paragrafoelenco"/>
        <w:numPr>
          <w:ilvl w:val="1"/>
          <w:numId w:val="11"/>
        </w:numPr>
        <w:spacing w:after="240" w:line="360" w:lineRule="auto"/>
        <w:jc w:val="both"/>
      </w:pPr>
      <w:r>
        <w:rPr>
          <w:rFonts w:ascii="Arial" w:hAnsi="Arial" w:cs="Arial"/>
          <w:bCs/>
        </w:rPr>
        <w:t>3 servizi per i Comuni fino a 5.000 abitanti;</w:t>
      </w:r>
    </w:p>
    <w:p w:rsidR="008D084C" w:rsidRDefault="008D084C">
      <w:pPr>
        <w:pStyle w:val="Paragrafoelenco"/>
        <w:numPr>
          <w:ilvl w:val="1"/>
          <w:numId w:val="11"/>
        </w:numPr>
        <w:spacing w:after="240" w:line="360" w:lineRule="auto"/>
        <w:jc w:val="both"/>
      </w:pPr>
      <w:r>
        <w:rPr>
          <w:rFonts w:ascii="Arial" w:hAnsi="Arial" w:cs="Arial"/>
          <w:bCs/>
        </w:rPr>
        <w:t>3 servizi per i Comuni 5.001 - 20.000 abitanti;</w:t>
      </w:r>
    </w:p>
    <w:p w:rsidR="008D084C" w:rsidRDefault="008D084C">
      <w:pPr>
        <w:pStyle w:val="Paragrafoelenco"/>
        <w:numPr>
          <w:ilvl w:val="1"/>
          <w:numId w:val="11"/>
        </w:numPr>
        <w:spacing w:after="240" w:line="360" w:lineRule="auto"/>
        <w:jc w:val="both"/>
      </w:pPr>
      <w:r>
        <w:rPr>
          <w:rFonts w:ascii="Arial" w:hAnsi="Arial" w:cs="Arial"/>
          <w:bCs/>
        </w:rPr>
        <w:t>5 servizi per i Comuni 20.001 - 100.000 abitanti;</w:t>
      </w:r>
    </w:p>
    <w:p w:rsidR="008D084C" w:rsidRDefault="008D084C">
      <w:pPr>
        <w:pStyle w:val="Paragrafoelenco"/>
        <w:numPr>
          <w:ilvl w:val="1"/>
          <w:numId w:val="11"/>
        </w:numPr>
        <w:spacing w:after="240" w:line="360" w:lineRule="auto"/>
        <w:jc w:val="both"/>
      </w:pPr>
      <w:r>
        <w:rPr>
          <w:rFonts w:ascii="Arial" w:hAnsi="Arial" w:cs="Arial"/>
          <w:bCs/>
        </w:rPr>
        <w:t>5 servizi per i Comuni 100.001 - 250.000 abitanti;</w:t>
      </w:r>
    </w:p>
    <w:p w:rsidR="008D084C" w:rsidRDefault="008D084C">
      <w:pPr>
        <w:pStyle w:val="Paragrafoelenco"/>
        <w:numPr>
          <w:ilvl w:val="1"/>
          <w:numId w:val="11"/>
        </w:numPr>
        <w:spacing w:after="240" w:line="360" w:lineRule="auto"/>
        <w:jc w:val="both"/>
      </w:pPr>
      <w:r>
        <w:rPr>
          <w:rFonts w:ascii="Arial" w:hAnsi="Arial" w:cs="Arial"/>
          <w:bCs/>
        </w:rPr>
        <w:t>5 servizi per i Comuni &gt; 250.000 abitanti;</w:t>
      </w:r>
    </w:p>
    <w:p w:rsidR="008D084C" w:rsidRDefault="008D084C">
      <w:pPr>
        <w:spacing w:after="240" w:line="360" w:lineRule="auto"/>
        <w:jc w:val="both"/>
        <w:rPr>
          <w:rFonts w:ascii="Arial" w:hAnsi="Arial" w:cs="Arial"/>
          <w:bCs/>
        </w:rPr>
      </w:pP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Ricordato che l’avviso ministeriale prevede:</w:t>
      </w:r>
    </w:p>
    <w:p w:rsidR="008D084C" w:rsidRDefault="008D084C">
      <w:pPr>
        <w:pStyle w:val="Paragrafoelenco"/>
        <w:numPr>
          <w:ilvl w:val="0"/>
          <w:numId w:val="7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riconoscimento ai Comuni di un importo forfettario (lump sum) determinato in funzione:</w:t>
      </w:r>
    </w:p>
    <w:p w:rsidR="008D084C" w:rsidRDefault="008D084C">
      <w:pPr>
        <w:pStyle w:val="Paragrafoelenco"/>
        <w:numPr>
          <w:ilvl w:val="1"/>
          <w:numId w:val="8"/>
        </w:numPr>
        <w:spacing w:after="240" w:line="360" w:lineRule="auto"/>
        <w:jc w:val="both"/>
      </w:pPr>
      <w:r>
        <w:rPr>
          <w:rFonts w:ascii="Arial" w:hAnsi="Arial" w:cs="Arial"/>
          <w:bCs/>
        </w:rPr>
        <w:t>del numero di servizi attivati;</w:t>
      </w:r>
    </w:p>
    <w:p w:rsidR="008D084C" w:rsidRDefault="008D084C">
      <w:pPr>
        <w:pStyle w:val="Paragrafoelenco"/>
        <w:numPr>
          <w:ilvl w:val="1"/>
          <w:numId w:val="8"/>
        </w:numPr>
        <w:spacing w:after="240" w:line="360" w:lineRule="auto"/>
        <w:jc w:val="both"/>
      </w:pPr>
      <w:r>
        <w:rPr>
          <w:rFonts w:ascii="Arial" w:hAnsi="Arial" w:cs="Arial"/>
          <w:bCs/>
        </w:rPr>
        <w:t>della classe di popolazione residente nel Comune;</w:t>
      </w:r>
    </w:p>
    <w:p w:rsidR="008D084C" w:rsidRDefault="008D084C">
      <w:pPr>
        <w:pStyle w:val="Paragrafoelenco"/>
        <w:numPr>
          <w:ilvl w:val="0"/>
          <w:numId w:val="7"/>
        </w:numPr>
        <w:spacing w:after="240" w:line="360" w:lineRule="auto"/>
        <w:jc w:val="both"/>
      </w:pPr>
      <w:r>
        <w:rPr>
          <w:rFonts w:ascii="Arial" w:hAnsi="Arial" w:cs="Arial"/>
          <w:bCs/>
        </w:rPr>
        <w:t>l’erogazione del contributo forfettario in un’unica soluzione a seguito del perfezionamento delle attività di integrazione e attivazione dei servizi;</w:t>
      </w:r>
    </w:p>
    <w:p w:rsidR="008D084C" w:rsidRDefault="008D084C">
      <w:pPr>
        <w:pStyle w:val="Paragrafoelenco"/>
        <w:numPr>
          <w:ilvl w:val="0"/>
          <w:numId w:val="7"/>
        </w:numPr>
        <w:spacing w:after="240" w:line="360" w:lineRule="auto"/>
        <w:jc w:val="both"/>
      </w:pPr>
      <w:r>
        <w:rPr>
          <w:rFonts w:ascii="Arial" w:hAnsi="Arial" w:cs="Arial"/>
          <w:bCs/>
        </w:rPr>
        <w:t>che le attività di cui al finanziamento richiesto siano state avviate a decorrere dal 1° aprile 2021;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Considerato che il Comune di _____________________ ha presentato domanda in data _____________ e risulta finanziato per € ____________________ con CUP ________________________, giusto decreto di finanziamento n. ___ del _________________;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Rammentato, in ultimo, che il processo formale e tecnico per l’adesione, la migrazione e l’attivazione dei servizi sull’App IO prevede:</w:t>
      </w:r>
    </w:p>
    <w:p w:rsidR="008D084C" w:rsidRDefault="008D084C">
      <w:pPr>
        <w:pStyle w:val="Paragrafoelenco"/>
        <w:numPr>
          <w:ilvl w:val="0"/>
          <w:numId w:val="1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processo per l’adesione all’App IO:</w:t>
      </w:r>
    </w:p>
    <w:p w:rsidR="008D084C" w:rsidRDefault="008D084C">
      <w:pPr>
        <w:pStyle w:val="Paragrafoelenco"/>
        <w:numPr>
          <w:ilvl w:val="1"/>
          <w:numId w:val="12"/>
        </w:numPr>
        <w:spacing w:after="240" w:line="360" w:lineRule="auto"/>
        <w:jc w:val="both"/>
      </w:pPr>
      <w:r>
        <w:rPr>
          <w:rFonts w:ascii="Arial" w:hAnsi="Arial" w:cs="Arial"/>
          <w:bCs/>
        </w:rPr>
        <w:t>compilazione del contratto di adesione;</w:t>
      </w:r>
    </w:p>
    <w:p w:rsidR="008D084C" w:rsidRDefault="008D084C">
      <w:pPr>
        <w:pStyle w:val="Paragrafoelenco"/>
        <w:numPr>
          <w:ilvl w:val="1"/>
          <w:numId w:val="12"/>
        </w:numPr>
        <w:spacing w:after="240" w:line="360" w:lineRule="auto"/>
        <w:jc w:val="both"/>
      </w:pPr>
      <w:r>
        <w:rPr>
          <w:rFonts w:ascii="Arial" w:hAnsi="Arial" w:cs="Arial"/>
          <w:bCs/>
        </w:rPr>
        <w:t>firma del contratto (con firma elettronica ed invio alla casella PEC adesioni-io@pec.pagopa.it);</w:t>
      </w:r>
    </w:p>
    <w:p w:rsidR="008D084C" w:rsidRDefault="008D084C">
      <w:pPr>
        <w:pStyle w:val="Paragrafoelenco"/>
        <w:numPr>
          <w:ilvl w:val="0"/>
          <w:numId w:val="12"/>
        </w:numPr>
        <w:spacing w:after="240" w:line="360" w:lineRule="auto"/>
        <w:jc w:val="both"/>
      </w:pPr>
      <w:r>
        <w:rPr>
          <w:rFonts w:ascii="Arial" w:hAnsi="Arial" w:cs="Arial"/>
          <w:bCs/>
        </w:rPr>
        <w:t>il processo di integrazione dei servizi:</w:t>
      </w:r>
    </w:p>
    <w:p w:rsidR="008D084C" w:rsidRDefault="008D084C">
      <w:pPr>
        <w:pStyle w:val="Paragrafoelenco"/>
        <w:numPr>
          <w:ilvl w:val="1"/>
          <w:numId w:val="12"/>
        </w:numPr>
        <w:spacing w:after="240" w:line="360" w:lineRule="auto"/>
        <w:jc w:val="both"/>
      </w:pPr>
      <w:r>
        <w:rPr>
          <w:rFonts w:ascii="Arial" w:hAnsi="Arial" w:cs="Arial"/>
          <w:bCs/>
        </w:rPr>
        <w:t>registrazione al Back Office dell’app (developer.io.italia.it) per generare le chiavi API necessarie per l’integrazione da parte del/dei delegati tecnici.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lastRenderedPageBreak/>
        <w:t>Considerato che le attività per il raggiungimento degli obiettivi del bando possono essere svolte dal Comune tramite il supporto di un Partner/Intermediario Tecnologico (se già contrattualizzato), o attraverso l’individuazione di un Partner/Intermediario Tecnologico per lo sviluppo di processi di reingegnerizzazione tali da garantire l’integrazione informatica con le soluzioni gestionali in uso presso il Comune e la piena rispondenza alle specifiche tecnico-operative previste per l’integrazione con l’App IO;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Tenuto conto che l’ente deve contrattualizzare con il fornitore entro 180 giorni dalla data di notifica del decreto di finanziamento;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Visto il preventivo della società Soluzioni Halley S.r.l., Via Gregaria 50 – 82020 Pietrelcina (BN) – P.I. 01514130622, giusto protocollo n. ____ del _______________, per l’attività di supporto al processo di adesione all’App IO e di integrazione dei servizi previsti nel bando;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Verificato, ai fini e per gli effetti dell’articolo 26 della l. 488/1999 e dell’articolo 1, comma 449 della l. 296/2006 che non risultano convenzioni attive stipulate da CONSIP o da centrali regionali di committenza per i beni/servizi in oggetto;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Dato atto che il bene da acquisire:</w:t>
      </w:r>
    </w:p>
    <w:p w:rsidR="008D084C" w:rsidRDefault="008D084C">
      <w:pPr>
        <w:numPr>
          <w:ilvl w:val="0"/>
          <w:numId w:val="3"/>
        </w:numPr>
        <w:spacing w:after="240" w:line="360" w:lineRule="auto"/>
        <w:jc w:val="both"/>
      </w:pPr>
      <w:r>
        <w:rPr>
          <w:rFonts w:ascii="Arial" w:hAnsi="Arial" w:cs="Arial"/>
          <w:bCs/>
        </w:rPr>
        <w:t>è di importo inferiore a 5.000,00 euro e, pertanto, non è obbligatorio il ricorso al MEPA, ai sensi dell’articolo 1, comma 450 della l. 296/2006;</w:t>
      </w:r>
    </w:p>
    <w:p w:rsidR="008D084C" w:rsidRDefault="008D084C">
      <w:pPr>
        <w:numPr>
          <w:ilvl w:val="0"/>
          <w:numId w:val="3"/>
        </w:numPr>
        <w:spacing w:after="240" w:line="360" w:lineRule="auto"/>
        <w:jc w:val="both"/>
      </w:pPr>
      <w:r>
        <w:rPr>
          <w:rFonts w:ascii="Arial" w:hAnsi="Arial" w:cs="Arial"/>
          <w:bCs/>
        </w:rPr>
        <w:t>non è negoziabile sul MEPA, non essendo disponibili bandi attivi;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  <w:i/>
          <w:iCs/>
        </w:rPr>
        <w:t>oppure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dell’articolo 1, comma 450 della l. 296/2006;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Considerato che:</w:t>
      </w:r>
    </w:p>
    <w:p w:rsidR="008D084C" w:rsidRDefault="008D084C">
      <w:pPr>
        <w:numPr>
          <w:ilvl w:val="0"/>
          <w:numId w:val="4"/>
        </w:numPr>
        <w:spacing w:after="240" w:line="360" w:lineRule="auto"/>
        <w:jc w:val="both"/>
      </w:pPr>
      <w:r>
        <w:rPr>
          <w:rFonts w:ascii="Arial" w:hAnsi="Arial" w:cs="Arial"/>
          <w:bCs/>
        </w:rPr>
        <w:t>l’importo contrattuale complessivo per il servizio è pari a € ____________________________;</w:t>
      </w:r>
    </w:p>
    <w:p w:rsidR="008D084C" w:rsidRDefault="008D084C">
      <w:pPr>
        <w:numPr>
          <w:ilvl w:val="0"/>
          <w:numId w:val="4"/>
        </w:numPr>
        <w:spacing w:after="240" w:line="360" w:lineRule="auto"/>
        <w:jc w:val="both"/>
      </w:pPr>
      <w:r>
        <w:rPr>
          <w:rFonts w:ascii="Arial" w:hAnsi="Arial" w:cs="Arial"/>
          <w:bCs/>
        </w:rPr>
        <w:t>l’importo complessivo contrattuale della fornitura sopra specificata è inferiore ad 75.000,00 euro e che, pertanto, è possibile procedere in via autonoma all’affidamento dell’appalto della fornitura in parola, ai sensi e per gli effetti dell’articolo 1, comma 2, lettera a) del d.l. 76/2020 convertito dalla l. 120/2020, mediante affidamento diretto senza procedimento di gara;</w:t>
      </w:r>
    </w:p>
    <w:p w:rsidR="008D084C" w:rsidRDefault="008D084C">
      <w:pPr>
        <w:numPr>
          <w:ilvl w:val="0"/>
          <w:numId w:val="4"/>
        </w:numPr>
        <w:spacing w:after="240" w:line="360" w:lineRule="auto"/>
        <w:jc w:val="both"/>
      </w:pPr>
      <w:r>
        <w:rPr>
          <w:rFonts w:ascii="Arial" w:hAnsi="Arial" w:cs="Arial"/>
          <w:bCs/>
        </w:rPr>
        <w:lastRenderedPageBreak/>
        <w:t>che le ragioni del ricorso all’affidamento diretto sono rinvenibili nella necessità di acquisire la fornitura quanto prima al fine di rispettare le scadenze ed i termini indicati nello specifico bando;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Dato atto che non sussistono cause di incompatibilità e conflitto d’interesse ai sensi dell’articolo 42 del d.lgs. 50/2016;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Considerato che il CIG di riferimento del presente affidamento è il ……………………………………;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Visto il regolamento di contabilità armonizzata;</w:t>
      </w:r>
    </w:p>
    <w:p w:rsidR="008D084C" w:rsidRDefault="008D084C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</w:p>
    <w:p w:rsidR="008D084C" w:rsidRDefault="008D084C">
      <w:pPr>
        <w:spacing w:after="240" w:line="360" w:lineRule="auto"/>
        <w:jc w:val="center"/>
      </w:pPr>
      <w:r>
        <w:rPr>
          <w:rFonts w:ascii="Arial" w:hAnsi="Arial" w:cs="Arial"/>
          <w:b/>
          <w:spacing w:val="30"/>
        </w:rPr>
        <w:t>DETERMINA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1. di affidare, per i motivi esposti in narrativa e che qui si intendono integralmente riportati, il servizio di supporto al processo di adesione all’App IO e di integrazione dei servizi previsti nel bando alla società Soluzioni Halley S.r.l., Via Gregaria 50 – 82020 Pietrelcina (BN) – P.I. 01514130622;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2. di stabilire che le attività di migrazione e attivazione dei servizi dovranno essere eseguite entro 240 giorni dall’esecutività del presente atto;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 xml:space="preserve">3. di impegnare, </w:t>
      </w:r>
      <w:r>
        <w:rPr>
          <w:rFonts w:ascii="Arial" w:hAnsi="Arial" w:cs="Arial"/>
        </w:rPr>
        <w:t>ai sensi dell’articolo 183 del d.lgs. 267/2000 e del principio contabile applicato allegato 4/2 al d.lgs. 118/2011, le somme di cui alla tabella in calce corrispondenti ad obbligazioni giuridicamente perfezionate, con imputazione agli esercizi in cui le stesse sono esigibili;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4. di accertare, ai sensi del comma 8 dell’articolo 183 del d.lgs. 267/2000, che il programma dei conseguenti pagamenti dell’impegno di spesa di cui al presente provvedimento è compatibile con i relativi stanziamenti di cassa del bilancio e con le regole di finanza pubblica;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</w:rPr>
        <w:t>5. di comunicare ai terzi interessati il presente provvedimento, ai sensi dell’articolo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br/>
      </w:r>
      <w:r>
        <w:rPr>
          <w:rFonts w:ascii="Arial" w:hAnsi="Arial" w:cs="Arial"/>
        </w:rPr>
        <w:t>La fattura (inviata esclusivamente in modalità elettronica) dovrà:</w:t>
      </w:r>
    </w:p>
    <w:p w:rsidR="008D084C" w:rsidRDefault="008D084C">
      <w:pPr>
        <w:numPr>
          <w:ilvl w:val="0"/>
          <w:numId w:val="5"/>
        </w:numPr>
        <w:spacing w:after="240" w:line="360" w:lineRule="auto"/>
        <w:jc w:val="both"/>
      </w:pPr>
      <w:r>
        <w:rPr>
          <w:rFonts w:ascii="Arial" w:hAnsi="Arial" w:cs="Arial"/>
        </w:rPr>
        <w:t>essere intestata al Comune di _______________, Servizio _____________;</w:t>
      </w:r>
    </w:p>
    <w:p w:rsidR="008D084C" w:rsidRDefault="008D084C">
      <w:pPr>
        <w:numPr>
          <w:ilvl w:val="0"/>
          <w:numId w:val="5"/>
        </w:numPr>
        <w:spacing w:after="240" w:line="360" w:lineRule="auto"/>
        <w:jc w:val="both"/>
      </w:pPr>
      <w:r>
        <w:rPr>
          <w:rFonts w:ascii="Arial" w:hAnsi="Arial" w:cs="Arial"/>
        </w:rPr>
        <w:t>riportare al suo interno:</w:t>
      </w:r>
    </w:p>
    <w:p w:rsidR="008D084C" w:rsidRDefault="008D084C">
      <w:pPr>
        <w:numPr>
          <w:ilvl w:val="1"/>
          <w:numId w:val="6"/>
        </w:numPr>
        <w:spacing w:after="240" w:line="360" w:lineRule="auto"/>
        <w:jc w:val="both"/>
      </w:pPr>
      <w:r>
        <w:rPr>
          <w:rFonts w:ascii="Arial" w:hAnsi="Arial" w:cs="Arial"/>
        </w:rPr>
        <w:lastRenderedPageBreak/>
        <w:t>gli estremi della presente determinazione (numero e data);</w:t>
      </w:r>
    </w:p>
    <w:p w:rsidR="008D084C" w:rsidRDefault="008D084C">
      <w:pPr>
        <w:numPr>
          <w:ilvl w:val="1"/>
          <w:numId w:val="6"/>
        </w:numPr>
        <w:spacing w:after="240" w:line="360" w:lineRule="auto"/>
        <w:jc w:val="both"/>
      </w:pPr>
      <w:r>
        <w:rPr>
          <w:rFonts w:ascii="Arial" w:hAnsi="Arial" w:cs="Arial"/>
        </w:rPr>
        <w:t>il codice IPA del Servizio ____________ (________________);</w:t>
      </w:r>
    </w:p>
    <w:p w:rsidR="008D084C" w:rsidRDefault="008D084C">
      <w:pPr>
        <w:numPr>
          <w:ilvl w:val="1"/>
          <w:numId w:val="6"/>
        </w:numPr>
        <w:spacing w:after="240" w:line="360" w:lineRule="auto"/>
        <w:jc w:val="both"/>
      </w:pPr>
      <w:r>
        <w:rPr>
          <w:rFonts w:ascii="Arial" w:hAnsi="Arial" w:cs="Arial"/>
        </w:rPr>
        <w:t>il codice CIG (codice identificativo di gara) e il codice CUP;</w:t>
      </w:r>
    </w:p>
    <w:p w:rsidR="008D084C" w:rsidRDefault="008D084C">
      <w:pPr>
        <w:numPr>
          <w:ilvl w:val="0"/>
          <w:numId w:val="5"/>
        </w:numPr>
        <w:spacing w:after="240" w:line="360" w:lineRule="auto"/>
        <w:jc w:val="both"/>
      </w:pPr>
      <w:r>
        <w:rPr>
          <w:rFonts w:ascii="Arial" w:hAnsi="Arial" w:cs="Arial"/>
        </w:rPr>
        <w:t>contenere in allegato il conto corrente dedicato ai sensi dell’articolo 3 della l. 136/2019.</w:t>
      </w:r>
    </w:p>
    <w:p w:rsidR="008D084C" w:rsidRDefault="008D084C">
      <w:pPr>
        <w:spacing w:after="240" w:line="360" w:lineRule="auto"/>
        <w:jc w:val="both"/>
      </w:pPr>
      <w:r>
        <w:rPr>
          <w:rFonts w:ascii="Arial" w:hAnsi="Arial" w:cs="Arial"/>
          <w:bCs/>
        </w:rPr>
        <w:t>6. di dare atto che</w:t>
      </w:r>
      <w:r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8D084C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A1" w:rsidRDefault="00BC1FA1">
      <w:pPr>
        <w:spacing w:after="0" w:line="240" w:lineRule="auto"/>
      </w:pPr>
      <w:r>
        <w:separator/>
      </w:r>
    </w:p>
  </w:endnote>
  <w:endnote w:type="continuationSeparator" w:id="0">
    <w:p w:rsidR="00BC1FA1" w:rsidRDefault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A1" w:rsidRDefault="00BC1FA1">
      <w:r>
        <w:rPr>
          <w:rFonts w:ascii="Liberation Serif" w:hAnsi="Liberation Serif"/>
          <w:kern w:val="0"/>
          <w:sz w:val="24"/>
          <w:szCs w:val="24"/>
          <w:lang w:eastAsia="it-IT"/>
        </w:rPr>
        <w:separator/>
      </w:r>
    </w:p>
  </w:footnote>
  <w:footnote w:type="continuationSeparator" w:id="0">
    <w:p w:rsidR="00BC1FA1" w:rsidRDefault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Liberation Serif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7"/>
    <w:rsid w:val="00535BF1"/>
    <w:rsid w:val="008D084C"/>
    <w:rsid w:val="008F0D69"/>
    <w:rsid w:val="00B15737"/>
    <w:rsid w:val="00BC1FA1"/>
    <w:rsid w:val="00C47E89"/>
    <w:rsid w:val="00C55D27"/>
    <w:rsid w:val="00D654E3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53161"/>
  <w14:defaultImageDpi w14:val="0"/>
  <w15:docId w15:val="{B83AC19E-9E6D-4FDD-81AD-D3D749B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line="256" w:lineRule="auto"/>
    </w:pPr>
    <w:rPr>
      <w:rFonts w:ascii="Calibri" w:hAnsi="Calibri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ascii="Arial" w:hAnsi="Arial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  <w:rPr>
      <w:rFonts w:ascii="Arial" w:hAnsi="Arial"/>
      <w:b/>
    </w:rPr>
  </w:style>
  <w:style w:type="character" w:customStyle="1" w:styleId="ListLabel19">
    <w:name w:val="ListLabel 19"/>
    <w:uiPriority w:val="99"/>
    <w:rPr>
      <w:rFonts w:ascii="Arial" w:hAnsi="Arial"/>
      <w:b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  <w:rPr>
      <w:rFonts w:ascii="Arial" w:hAnsi="Arial"/>
      <w:b/>
    </w:rPr>
  </w:style>
  <w:style w:type="character" w:customStyle="1" w:styleId="ListLabel30">
    <w:name w:val="ListLabel 30"/>
    <w:uiPriority w:val="99"/>
    <w:rPr>
      <w:rFonts w:ascii="Arial" w:hAnsi="Arial"/>
      <w:b/>
    </w:rPr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76" w:lineRule="auto"/>
    </w:pPr>
    <w:rPr>
      <w:kern w:val="0"/>
    </w:rPr>
  </w:style>
  <w:style w:type="paragraph" w:styleId="Elenco">
    <w:name w:val="List"/>
    <w:basedOn w:val="Corpodeltesto"/>
    <w:uiPriority w:val="99"/>
    <w:rPr>
      <w:rFonts w:cs="Arial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Arial"/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Arial"/>
      <w:kern w:val="0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kern w:val="1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lastModifiedBy>Grazia</cp:lastModifiedBy>
  <cp:revision>3</cp:revision>
  <dcterms:created xsi:type="dcterms:W3CDTF">2023-01-30T15:35:00Z</dcterms:created>
  <dcterms:modified xsi:type="dcterms:W3CDTF">2023-01-30T16:51:00Z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Grazia</vt:lpwstr>
  </property>
</Properties>
</file>